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1AE1551F"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BF61F4">
        <w:rPr>
          <w:rFonts w:ascii="Arial" w:hAnsi="Arial"/>
          <w:b/>
          <w:sz w:val="24"/>
          <w:szCs w:val="24"/>
        </w:rPr>
        <w:t>3</w:t>
      </w:r>
      <w:r w:rsidRPr="00B64708">
        <w:rPr>
          <w:rFonts w:ascii="Arial" w:hAnsi="Arial"/>
          <w:b/>
          <w:i/>
          <w:noProof/>
          <w:sz w:val="24"/>
          <w:szCs w:val="24"/>
        </w:rPr>
        <w:tab/>
      </w:r>
      <w:r w:rsidRPr="00A164B5">
        <w:rPr>
          <w:rFonts w:ascii="Arial" w:hAnsi="Arial"/>
          <w:b/>
          <w:sz w:val="24"/>
          <w:szCs w:val="24"/>
        </w:rPr>
        <w:t>R4-24</w:t>
      </w:r>
      <w:r w:rsidR="001F5E35" w:rsidRPr="00A164B5">
        <w:rPr>
          <w:rFonts w:ascii="Arial" w:hAnsi="Arial"/>
          <w:b/>
          <w:sz w:val="24"/>
          <w:szCs w:val="24"/>
        </w:rPr>
        <w:t>1</w:t>
      </w:r>
      <w:r w:rsidR="00184F9B">
        <w:rPr>
          <w:rFonts w:ascii="Arial" w:hAnsi="Arial"/>
          <w:b/>
          <w:sz w:val="24"/>
          <w:szCs w:val="24"/>
        </w:rPr>
        <w:t>9528</w:t>
      </w:r>
    </w:p>
    <w:p w14:paraId="5D43EEDF" w14:textId="6AB471CE" w:rsidR="00BD0D23" w:rsidRPr="00B64708" w:rsidRDefault="009E6330" w:rsidP="00BD0D23">
      <w:pPr>
        <w:spacing w:after="120"/>
        <w:outlineLvl w:val="0"/>
        <w:rPr>
          <w:rFonts w:ascii="Arial" w:hAnsi="Arial"/>
          <w:b/>
          <w:bCs/>
          <w:noProof/>
          <w:sz w:val="32"/>
          <w:szCs w:val="24"/>
        </w:rPr>
      </w:pPr>
      <w:r>
        <w:rPr>
          <w:rFonts w:ascii="Arial" w:hAnsi="Arial"/>
          <w:b/>
          <w:bCs/>
          <w:sz w:val="24"/>
          <w:szCs w:val="24"/>
        </w:rPr>
        <w:t>Orlando</w:t>
      </w:r>
      <w:r w:rsidR="00BD0D23" w:rsidRPr="00151594">
        <w:rPr>
          <w:rFonts w:ascii="Arial" w:hAnsi="Arial"/>
          <w:b/>
          <w:bCs/>
          <w:sz w:val="24"/>
          <w:szCs w:val="24"/>
        </w:rPr>
        <w:t xml:space="preserve">, </w:t>
      </w:r>
      <w:r>
        <w:rPr>
          <w:rFonts w:ascii="Arial" w:hAnsi="Arial"/>
          <w:b/>
          <w:bCs/>
          <w:sz w:val="24"/>
          <w:szCs w:val="24"/>
        </w:rPr>
        <w:t>United States</w:t>
      </w:r>
      <w:r w:rsidR="00BD0D23" w:rsidRPr="00151594">
        <w:rPr>
          <w:rFonts w:ascii="Arial" w:hAnsi="Arial"/>
          <w:b/>
          <w:bCs/>
          <w:sz w:val="24"/>
          <w:szCs w:val="24"/>
        </w:rPr>
        <w:t xml:space="preserve">, </w:t>
      </w:r>
      <w:r>
        <w:rPr>
          <w:rFonts w:ascii="Arial" w:hAnsi="Arial"/>
          <w:b/>
          <w:bCs/>
          <w:sz w:val="24"/>
          <w:szCs w:val="24"/>
        </w:rPr>
        <w:t>18</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22</w:t>
      </w:r>
      <w:r w:rsidR="00BD0D23" w:rsidRPr="00B64708">
        <w:rPr>
          <w:rFonts w:ascii="Arial" w:hAnsi="Arial"/>
          <w:b/>
          <w:bCs/>
          <w:sz w:val="24"/>
          <w:szCs w:val="24"/>
        </w:rPr>
        <w:t xml:space="preserve"> </w:t>
      </w:r>
      <w:r>
        <w:rPr>
          <w:rFonts w:ascii="Arial" w:hAnsi="Arial"/>
          <w:b/>
          <w:bCs/>
          <w:sz w:val="24"/>
          <w:szCs w:val="24"/>
        </w:rPr>
        <w:t>November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15AF207E"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576ABC" w:rsidRPr="00576ABC">
        <w:rPr>
          <w:rFonts w:ascii="Arial" w:hAnsi="Arial" w:cs="Arial"/>
          <w:sz w:val="24"/>
          <w:szCs w:val="22"/>
        </w:rPr>
        <w:t>6</w:t>
      </w:r>
      <w:r w:rsidR="00BF61F4" w:rsidRPr="00576ABC">
        <w:rPr>
          <w:rFonts w:ascii="Arial" w:hAnsi="Arial" w:cs="Arial"/>
          <w:sz w:val="24"/>
          <w:szCs w:val="22"/>
        </w:rPr>
        <w:t>.</w:t>
      </w:r>
      <w:r w:rsidR="00576ABC" w:rsidRPr="00576ABC">
        <w:rPr>
          <w:rFonts w:ascii="Arial" w:hAnsi="Arial" w:cs="Arial"/>
          <w:sz w:val="24"/>
          <w:szCs w:val="22"/>
        </w:rPr>
        <w:t>17</w:t>
      </w:r>
      <w:r w:rsidR="00BF61F4" w:rsidRPr="00576ABC">
        <w:rPr>
          <w:rFonts w:ascii="Arial" w:hAnsi="Arial" w:cs="Arial"/>
          <w:sz w:val="24"/>
          <w:szCs w:val="22"/>
        </w:rPr>
        <w:t>.</w:t>
      </w:r>
      <w:r w:rsidR="00576ABC" w:rsidRPr="00576ABC">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7F44411"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4B02E6">
        <w:rPr>
          <w:rFonts w:ascii="Arial" w:hAnsi="Arial" w:cs="Arial"/>
          <w:sz w:val="24"/>
          <w:lang w:val="en-US" w:eastAsia="ja-JP"/>
        </w:rPr>
        <w:t>Co-existence considerations for the new S-band</w:t>
      </w:r>
    </w:p>
    <w:p w14:paraId="677D9182" w14:textId="165AAF6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AD0548">
        <w:rPr>
          <w:rFonts w:ascii="Arial" w:hAnsi="Arial" w:cs="Arial"/>
          <w:sz w:val="24"/>
          <w:lang w:eastAsia="ja-JP"/>
        </w:rPr>
        <w:t>Discussion</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525DBE23" w:rsidR="00284627" w:rsidRDefault="00EA599C" w:rsidP="00833CE7">
      <w:pPr>
        <w:spacing w:after="120"/>
        <w:jc w:val="both"/>
        <w:rPr>
          <w:lang w:eastAsia="ja-JP"/>
        </w:rPr>
      </w:pPr>
      <w:r>
        <w:t>The</w:t>
      </w:r>
      <w:r w:rsidR="00CF09CC">
        <w:t xml:space="preserve"> WI on </w:t>
      </w:r>
      <w:r w:rsidR="00CF09CC" w:rsidRPr="00491656">
        <w:t xml:space="preserve">Introduction of NR-NTN S-band (MSS band 2000-2020 MHz UL and 2180-2200 MHz DL) </w:t>
      </w:r>
      <w:r>
        <w:t xml:space="preserve">can be found in </w:t>
      </w:r>
      <w:r w:rsidR="00CF09CC">
        <w:t>[1].</w:t>
      </w:r>
      <w:r w:rsidR="00EF326A">
        <w:t xml:space="preserve"> The objectives include </w:t>
      </w:r>
      <w:r w:rsidR="00030631">
        <w:t>co-existence analysis, for example UE-UE co-existence, for adjacent band per RAN4 scope. In this contribution these co-existence aspects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05651315" w14:textId="3359C629" w:rsidR="004F099D" w:rsidRDefault="00B26CCB" w:rsidP="009E6330">
      <w:pPr>
        <w:spacing w:after="120"/>
        <w:rPr>
          <w:bCs/>
        </w:rPr>
      </w:pPr>
      <w:r w:rsidRPr="00B26CCB">
        <w:rPr>
          <w:bCs/>
        </w:rPr>
        <w:t xml:space="preserve">In previous </w:t>
      </w:r>
      <w:r>
        <w:rPr>
          <w:bCs/>
        </w:rPr>
        <w:t>meeting</w:t>
      </w:r>
      <w:r w:rsidR="008077E6">
        <w:rPr>
          <w:bCs/>
        </w:rPr>
        <w:t xml:space="preserve"> a WF was agreed [2].</w:t>
      </w:r>
      <w:r w:rsidR="0057148C">
        <w:rPr>
          <w:bCs/>
        </w:rPr>
        <w:t xml:space="preserve"> One of the key agreements </w:t>
      </w:r>
      <w:r w:rsidR="00B97971">
        <w:rPr>
          <w:bCs/>
        </w:rPr>
        <w:t>captured in the WF is on UE-to-UE coexistence between n252 UL and n2/b2/n25/b25 DL:</w:t>
      </w:r>
    </w:p>
    <w:p w14:paraId="133A5ED2" w14:textId="47966DA4" w:rsidR="00B97971" w:rsidRDefault="00B97971" w:rsidP="009E6330">
      <w:pPr>
        <w:spacing w:after="120"/>
        <w:rPr>
          <w:b/>
        </w:rPr>
      </w:pPr>
      <w:r w:rsidRPr="00B97971">
        <w:rPr>
          <w:b/>
          <w:noProof/>
        </w:rPr>
        <w:drawing>
          <wp:inline distT="0" distB="0" distL="0" distR="0" wp14:anchorId="70F90451" wp14:editId="4756BFEC">
            <wp:extent cx="6120765" cy="2147570"/>
            <wp:effectExtent l="114300" t="114300" r="108585" b="138430"/>
            <wp:docPr id="1429171684"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171684" name="Picture 1" descr="A screenshot of a document&#10;&#10;Description automatically generated"/>
                    <pic:cNvPicPr/>
                  </pic:nvPicPr>
                  <pic:blipFill>
                    <a:blip r:embed="rId7"/>
                    <a:stretch>
                      <a:fillRect/>
                    </a:stretch>
                  </pic:blipFill>
                  <pic:spPr>
                    <a:xfrm>
                      <a:off x="0" y="0"/>
                      <a:ext cx="6120765" cy="21475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11716DF3" w14:textId="7FC41ED2" w:rsidR="00AC4EB0" w:rsidRDefault="00EB70FC" w:rsidP="00445E27">
      <w:pPr>
        <w:spacing w:after="120"/>
        <w:rPr>
          <w:bCs/>
        </w:rPr>
      </w:pPr>
      <w:r>
        <w:rPr>
          <w:bCs/>
        </w:rPr>
        <w:t>As seen, the target is now to define a requirement that allows the NTN service to work effectively across the full n252 band, whilst still protecting the TN UE at least in the majority of cases.</w:t>
      </w:r>
    </w:p>
    <w:p w14:paraId="07F460FD" w14:textId="7BE92803" w:rsidR="00442216" w:rsidRDefault="00442216" w:rsidP="00445E27">
      <w:pPr>
        <w:spacing w:after="120"/>
        <w:rPr>
          <w:bCs/>
        </w:rPr>
      </w:pPr>
      <w:r>
        <w:rPr>
          <w:bCs/>
        </w:rPr>
        <w:t>Meeting the link budget is essential for</w:t>
      </w:r>
      <w:r w:rsidR="00D72567">
        <w:rPr>
          <w:bCs/>
        </w:rPr>
        <w:t xml:space="preserve"> the NTN service to work</w:t>
      </w:r>
      <w:r w:rsidR="004C7DC4">
        <w:rPr>
          <w:bCs/>
        </w:rPr>
        <w:t xml:space="preserve"> effectively and therefore we did some initial analysis for expected A-MPR. </w:t>
      </w:r>
      <w:r w:rsidR="002F36EC">
        <w:rPr>
          <w:bCs/>
        </w:rPr>
        <w:t>Two emission limits were chosen as candidates to limit the total simulation effort and to be able to show a trend of how the A-MPR would change.</w:t>
      </w:r>
      <w:r w:rsidR="00315207">
        <w:rPr>
          <w:bCs/>
        </w:rPr>
        <w:t xml:space="preserve"> The candidate values we used were -50 dBm/MHz and -30 dBm/</w:t>
      </w:r>
      <w:proofErr w:type="spellStart"/>
      <w:r w:rsidR="00315207">
        <w:rPr>
          <w:bCs/>
        </w:rPr>
        <w:t>MHz.</w:t>
      </w:r>
      <w:proofErr w:type="spellEnd"/>
      <w:r w:rsidR="00F405C3">
        <w:rPr>
          <w:bCs/>
        </w:rPr>
        <w:t xml:space="preserve"> Otherwise, the simulation assumptions were</w:t>
      </w:r>
    </w:p>
    <w:p w14:paraId="2F4F847B" w14:textId="5E4868A4" w:rsidR="00F405C3" w:rsidRDefault="00F405C3" w:rsidP="000D4FD5">
      <w:pPr>
        <w:pStyle w:val="ListParagraph"/>
        <w:numPr>
          <w:ilvl w:val="0"/>
          <w:numId w:val="4"/>
        </w:numPr>
        <w:spacing w:after="120"/>
        <w:rPr>
          <w:bCs/>
        </w:rPr>
      </w:pPr>
      <w:r>
        <w:rPr>
          <w:bCs/>
        </w:rPr>
        <w:t>PA calibrated to 30 dB ACLR with 100 RB DFT-s-OFDM QPSK waveform</w:t>
      </w:r>
    </w:p>
    <w:p w14:paraId="19A799FE" w14:textId="0B222124" w:rsidR="00F405C3" w:rsidRDefault="0092626C" w:rsidP="000D4FD5">
      <w:pPr>
        <w:pStyle w:val="ListParagraph"/>
        <w:numPr>
          <w:ilvl w:val="0"/>
          <w:numId w:val="4"/>
        </w:numPr>
        <w:spacing w:after="120"/>
        <w:rPr>
          <w:bCs/>
        </w:rPr>
      </w:pPr>
      <w:r>
        <w:rPr>
          <w:bCs/>
        </w:rPr>
        <w:t xml:space="preserve">-28 </w:t>
      </w:r>
      <w:proofErr w:type="spellStart"/>
      <w:r>
        <w:rPr>
          <w:bCs/>
        </w:rPr>
        <w:t>dBc</w:t>
      </w:r>
      <w:proofErr w:type="spellEnd"/>
      <w:r>
        <w:rPr>
          <w:bCs/>
        </w:rPr>
        <w:t xml:space="preserve"> IQ-image and DC-leakage</w:t>
      </w:r>
    </w:p>
    <w:p w14:paraId="104DA0DD" w14:textId="1A775C6C" w:rsidR="0092626C" w:rsidRDefault="0092626C" w:rsidP="000D4FD5">
      <w:pPr>
        <w:pStyle w:val="ListParagraph"/>
        <w:numPr>
          <w:ilvl w:val="0"/>
          <w:numId w:val="4"/>
        </w:numPr>
        <w:spacing w:after="120"/>
        <w:rPr>
          <w:bCs/>
        </w:rPr>
      </w:pPr>
      <w:r>
        <w:rPr>
          <w:bCs/>
        </w:rPr>
        <w:t xml:space="preserve">-60 </w:t>
      </w:r>
      <w:proofErr w:type="spellStart"/>
      <w:r>
        <w:rPr>
          <w:bCs/>
        </w:rPr>
        <w:t>dBc</w:t>
      </w:r>
      <w:proofErr w:type="spellEnd"/>
      <w:r>
        <w:rPr>
          <w:bCs/>
        </w:rPr>
        <w:t xml:space="preserve"> CIM3</w:t>
      </w:r>
    </w:p>
    <w:p w14:paraId="4D0B5D4B" w14:textId="5EA264BD" w:rsidR="0092626C" w:rsidRDefault="005613A2" w:rsidP="000D4FD5">
      <w:pPr>
        <w:pStyle w:val="ListParagraph"/>
        <w:numPr>
          <w:ilvl w:val="0"/>
          <w:numId w:val="4"/>
        </w:numPr>
        <w:spacing w:after="120"/>
        <w:rPr>
          <w:bCs/>
        </w:rPr>
      </w:pPr>
      <w:r>
        <w:rPr>
          <w:bCs/>
        </w:rPr>
        <w:t>Only DFT-s-OFDM QPSK waveform was considered.</w:t>
      </w:r>
    </w:p>
    <w:p w14:paraId="6F94C5B0" w14:textId="3A454364" w:rsidR="005613A2" w:rsidRDefault="005613A2" w:rsidP="000D4FD5">
      <w:pPr>
        <w:pStyle w:val="ListParagraph"/>
        <w:numPr>
          <w:ilvl w:val="0"/>
          <w:numId w:val="4"/>
        </w:numPr>
        <w:spacing w:after="120"/>
        <w:rPr>
          <w:bCs/>
        </w:rPr>
      </w:pPr>
      <w:r>
        <w:rPr>
          <w:bCs/>
        </w:rPr>
        <w:t xml:space="preserve">Emission limit applied </w:t>
      </w:r>
      <w:r w:rsidR="00A76BFC">
        <w:rPr>
          <w:bCs/>
        </w:rPr>
        <w:t>below 1995 MHz</w:t>
      </w:r>
    </w:p>
    <w:p w14:paraId="13468325" w14:textId="358FE01B" w:rsidR="00C03396" w:rsidRPr="00C03396" w:rsidRDefault="00C03396" w:rsidP="00C03396">
      <w:pPr>
        <w:spacing w:after="120"/>
        <w:rPr>
          <w:bCs/>
        </w:rPr>
      </w:pPr>
      <w:r w:rsidRPr="00C03396">
        <w:rPr>
          <w:bCs/>
        </w:rPr>
        <w:t>Focus was on narrow allocations,</w:t>
      </w:r>
      <w:r>
        <w:rPr>
          <w:bCs/>
        </w:rPr>
        <w:t xml:space="preserve"> generally wide allocations (10 RB or more) might need more A-MPR.</w:t>
      </w:r>
    </w:p>
    <w:p w14:paraId="754D07C9" w14:textId="247A8263" w:rsidR="00315207" w:rsidRDefault="005613A2" w:rsidP="00445E27">
      <w:pPr>
        <w:spacing w:after="120"/>
        <w:rPr>
          <w:bCs/>
        </w:rPr>
      </w:pPr>
      <w:r>
        <w:rPr>
          <w:bCs/>
        </w:rPr>
        <w:t>The observations for different channel positions</w:t>
      </w:r>
      <w:r w:rsidR="00A76BFC">
        <w:rPr>
          <w:bCs/>
        </w:rPr>
        <w:t xml:space="preserve"> and carrier bandwidths </w:t>
      </w:r>
      <w:r w:rsidR="00775DAB">
        <w:rPr>
          <w:bCs/>
        </w:rPr>
        <w:t>are summarized in Table 1</w:t>
      </w:r>
      <w:r w:rsidR="002F1B79">
        <w:rPr>
          <w:bCs/>
        </w:rPr>
        <w:t>.</w:t>
      </w:r>
    </w:p>
    <w:p w14:paraId="2E32A8F0" w14:textId="77777777" w:rsidR="002F1B79" w:rsidRDefault="002F1B79" w:rsidP="00445E27">
      <w:pPr>
        <w:spacing w:after="120"/>
        <w:rPr>
          <w:bCs/>
        </w:rPr>
      </w:pPr>
    </w:p>
    <w:p w14:paraId="3DA27C2C" w14:textId="16FAD0DD" w:rsidR="00EC666E" w:rsidRPr="002F1B79" w:rsidRDefault="002F1B79" w:rsidP="002F1B79">
      <w:pPr>
        <w:spacing w:after="120"/>
        <w:jc w:val="center"/>
        <w:rPr>
          <w:b/>
        </w:rPr>
      </w:pPr>
      <w:r w:rsidRPr="002F1B79">
        <w:rPr>
          <w:b/>
        </w:rPr>
        <w:lastRenderedPageBreak/>
        <w:t>Table 1: Initial views on A-MPR for -50 dBm/MHz and -30 dBm/MHz limits below 1995 MHz</w:t>
      </w:r>
    </w:p>
    <w:p w14:paraId="39D80A2E" w14:textId="77777777" w:rsidR="002F1B79" w:rsidRPr="00571790" w:rsidRDefault="002F1B79" w:rsidP="00EC666E">
      <w:pPr>
        <w:pStyle w:val="ListParagraph"/>
        <w:spacing w:after="120"/>
        <w:ind w:left="1440"/>
        <w:rPr>
          <w:bCs/>
        </w:rPr>
      </w:pPr>
    </w:p>
    <w:tbl>
      <w:tblPr>
        <w:tblStyle w:val="TableGrid"/>
        <w:tblW w:w="0" w:type="auto"/>
        <w:tblInd w:w="720" w:type="dxa"/>
        <w:tblLook w:val="04A0" w:firstRow="1" w:lastRow="0" w:firstColumn="1" w:lastColumn="0" w:noHBand="0" w:noVBand="1"/>
      </w:tblPr>
      <w:tblGrid>
        <w:gridCol w:w="761"/>
        <w:gridCol w:w="1016"/>
        <w:gridCol w:w="3905"/>
        <w:gridCol w:w="3227"/>
      </w:tblGrid>
      <w:tr w:rsidR="00EC666E" w14:paraId="6444C0A9" w14:textId="77777777" w:rsidTr="00EC666E">
        <w:tc>
          <w:tcPr>
            <w:tcW w:w="693" w:type="dxa"/>
          </w:tcPr>
          <w:p w14:paraId="155ED5D5" w14:textId="50800AD0" w:rsidR="00EC666E" w:rsidRDefault="00EC666E" w:rsidP="009C63D0">
            <w:pPr>
              <w:pStyle w:val="ListParagraph"/>
              <w:spacing w:after="120"/>
              <w:ind w:left="0"/>
              <w:rPr>
                <w:bCs/>
              </w:rPr>
            </w:pPr>
            <w:r>
              <w:rPr>
                <w:bCs/>
              </w:rPr>
              <w:t>CBW</w:t>
            </w:r>
            <w:r w:rsidR="005277C4">
              <w:rPr>
                <w:bCs/>
              </w:rPr>
              <w:t xml:space="preserve"> [MHz]</w:t>
            </w:r>
          </w:p>
        </w:tc>
        <w:tc>
          <w:tcPr>
            <w:tcW w:w="1016" w:type="dxa"/>
          </w:tcPr>
          <w:p w14:paraId="089ABB63" w14:textId="77777777" w:rsidR="00EC666E" w:rsidRDefault="00EC666E" w:rsidP="009C63D0">
            <w:pPr>
              <w:pStyle w:val="ListParagraph"/>
              <w:spacing w:after="120"/>
              <w:ind w:left="0"/>
              <w:rPr>
                <w:bCs/>
              </w:rPr>
            </w:pPr>
            <w:r>
              <w:rPr>
                <w:bCs/>
              </w:rPr>
              <w:t>Carrier frequency</w:t>
            </w:r>
          </w:p>
          <w:p w14:paraId="230868D9" w14:textId="677D474F" w:rsidR="00EC666E" w:rsidRDefault="00EC666E" w:rsidP="009C63D0">
            <w:pPr>
              <w:pStyle w:val="ListParagraph"/>
              <w:spacing w:after="120"/>
              <w:ind w:left="0"/>
              <w:rPr>
                <w:bCs/>
              </w:rPr>
            </w:pPr>
            <w:r>
              <w:rPr>
                <w:bCs/>
              </w:rPr>
              <w:t>[MHz]</w:t>
            </w:r>
          </w:p>
        </w:tc>
        <w:tc>
          <w:tcPr>
            <w:tcW w:w="3945" w:type="dxa"/>
          </w:tcPr>
          <w:p w14:paraId="723DFA88" w14:textId="7440A4ED" w:rsidR="00EC666E" w:rsidRDefault="00EC666E" w:rsidP="009C63D0">
            <w:pPr>
              <w:pStyle w:val="ListParagraph"/>
              <w:spacing w:after="120"/>
              <w:ind w:left="0"/>
              <w:rPr>
                <w:bCs/>
              </w:rPr>
            </w:pPr>
            <w:r>
              <w:rPr>
                <w:bCs/>
              </w:rPr>
              <w:t>-50 dBm/MHz limit</w:t>
            </w:r>
          </w:p>
        </w:tc>
        <w:tc>
          <w:tcPr>
            <w:tcW w:w="3255" w:type="dxa"/>
          </w:tcPr>
          <w:p w14:paraId="4EC12F69" w14:textId="1D3F773E" w:rsidR="00EC666E" w:rsidRDefault="00EC666E" w:rsidP="009C63D0">
            <w:pPr>
              <w:pStyle w:val="ListParagraph"/>
              <w:spacing w:after="120"/>
              <w:ind w:left="0"/>
              <w:rPr>
                <w:bCs/>
              </w:rPr>
            </w:pPr>
            <w:r>
              <w:rPr>
                <w:bCs/>
              </w:rPr>
              <w:t>-30 dBm/MHz limit</w:t>
            </w:r>
          </w:p>
        </w:tc>
      </w:tr>
      <w:tr w:rsidR="00EC666E" w14:paraId="0869810A" w14:textId="77777777" w:rsidTr="00EC666E">
        <w:tc>
          <w:tcPr>
            <w:tcW w:w="693" w:type="dxa"/>
          </w:tcPr>
          <w:p w14:paraId="3C9FF45A" w14:textId="74407CC3" w:rsidR="00EC666E" w:rsidRDefault="00EC666E" w:rsidP="009C63D0">
            <w:pPr>
              <w:pStyle w:val="ListParagraph"/>
              <w:spacing w:after="120"/>
              <w:ind w:left="0"/>
              <w:rPr>
                <w:bCs/>
              </w:rPr>
            </w:pPr>
            <w:r>
              <w:rPr>
                <w:bCs/>
              </w:rPr>
              <w:t>10</w:t>
            </w:r>
          </w:p>
        </w:tc>
        <w:tc>
          <w:tcPr>
            <w:tcW w:w="1016" w:type="dxa"/>
          </w:tcPr>
          <w:p w14:paraId="71070F19" w14:textId="57BEDD16" w:rsidR="00EC666E" w:rsidRDefault="00EC666E" w:rsidP="009C63D0">
            <w:pPr>
              <w:pStyle w:val="ListParagraph"/>
              <w:spacing w:after="120"/>
              <w:ind w:left="0"/>
              <w:rPr>
                <w:bCs/>
              </w:rPr>
            </w:pPr>
            <w:r>
              <w:rPr>
                <w:bCs/>
              </w:rPr>
              <w:t>2005</w:t>
            </w:r>
          </w:p>
        </w:tc>
        <w:tc>
          <w:tcPr>
            <w:tcW w:w="3945" w:type="dxa"/>
          </w:tcPr>
          <w:p w14:paraId="1E858F53" w14:textId="77777777" w:rsidR="00EC666E" w:rsidRDefault="00EC666E" w:rsidP="000D4FD5">
            <w:pPr>
              <w:pStyle w:val="ListParagraph"/>
              <w:numPr>
                <w:ilvl w:val="0"/>
                <w:numId w:val="5"/>
              </w:numPr>
              <w:spacing w:after="120"/>
              <w:rPr>
                <w:bCs/>
              </w:rPr>
            </w:pPr>
            <w:r>
              <w:rPr>
                <w:bCs/>
              </w:rPr>
              <w:t xml:space="preserve">For narrow allocations below </w:t>
            </w:r>
            <w:proofErr w:type="spellStart"/>
            <w:r>
              <w:rPr>
                <w:bCs/>
              </w:rPr>
              <w:t>RBstart</w:t>
            </w:r>
            <w:proofErr w:type="spellEnd"/>
            <w:r>
              <w:rPr>
                <w:bCs/>
              </w:rPr>
              <w:t xml:space="preserve"> = 8 and above </w:t>
            </w:r>
            <w:proofErr w:type="spellStart"/>
            <w:r>
              <w:rPr>
                <w:bCs/>
              </w:rPr>
              <w:t>RBstart</w:t>
            </w:r>
            <w:proofErr w:type="spellEnd"/>
            <w:r>
              <w:rPr>
                <w:bCs/>
              </w:rPr>
              <w:t xml:space="preserve"> = 43, up to 10 dB A-MPR needed</w:t>
            </w:r>
          </w:p>
          <w:p w14:paraId="04D83833" w14:textId="77777777" w:rsidR="00EC666E" w:rsidRDefault="00EC666E" w:rsidP="000D4FD5">
            <w:pPr>
              <w:pStyle w:val="ListParagraph"/>
              <w:numPr>
                <w:ilvl w:val="0"/>
                <w:numId w:val="5"/>
              </w:numPr>
              <w:spacing w:after="120"/>
              <w:rPr>
                <w:bCs/>
              </w:rPr>
            </w:pPr>
            <w:r>
              <w:rPr>
                <w:bCs/>
              </w:rPr>
              <w:t>For narrow CIM5 allocations with RB start 8 to 14, approximately 4 dB A-MPR</w:t>
            </w:r>
          </w:p>
          <w:p w14:paraId="75F0B638" w14:textId="77777777" w:rsidR="00EC666E" w:rsidRDefault="00EC666E" w:rsidP="000D4FD5">
            <w:pPr>
              <w:pStyle w:val="ListParagraph"/>
              <w:numPr>
                <w:ilvl w:val="0"/>
                <w:numId w:val="5"/>
              </w:numPr>
              <w:spacing w:after="120"/>
              <w:rPr>
                <w:bCs/>
              </w:rPr>
            </w:pPr>
            <w:r>
              <w:rPr>
                <w:bCs/>
              </w:rPr>
              <w:t xml:space="preserve">No A-MPR needed for small set of narrow RB allocations with </w:t>
            </w:r>
            <w:proofErr w:type="spellStart"/>
            <w:r>
              <w:rPr>
                <w:bCs/>
              </w:rPr>
              <w:t>RBstart</w:t>
            </w:r>
            <w:proofErr w:type="spellEnd"/>
            <w:r>
              <w:rPr>
                <w:bCs/>
              </w:rPr>
              <w:t xml:space="preserve"> 15 to 43</w:t>
            </w:r>
          </w:p>
          <w:p w14:paraId="5F6DFC2E" w14:textId="38780FE8" w:rsidR="00EC666E" w:rsidRDefault="00EC666E" w:rsidP="009C63D0">
            <w:pPr>
              <w:pStyle w:val="ListParagraph"/>
              <w:spacing w:after="120"/>
              <w:ind w:left="0"/>
              <w:rPr>
                <w:bCs/>
              </w:rPr>
            </w:pPr>
          </w:p>
        </w:tc>
        <w:tc>
          <w:tcPr>
            <w:tcW w:w="3255" w:type="dxa"/>
          </w:tcPr>
          <w:p w14:paraId="42C5A441" w14:textId="77777777" w:rsidR="00EC666E" w:rsidRDefault="00EC666E" w:rsidP="000D4FD5">
            <w:pPr>
              <w:pStyle w:val="ListParagraph"/>
              <w:numPr>
                <w:ilvl w:val="0"/>
                <w:numId w:val="6"/>
              </w:numPr>
              <w:spacing w:after="120"/>
              <w:rPr>
                <w:bCs/>
              </w:rPr>
            </w:pPr>
            <w:r>
              <w:rPr>
                <w:bCs/>
              </w:rPr>
              <w:t xml:space="preserve">For narrow allocations A-MPR is only needed at low edge of the channel below </w:t>
            </w:r>
            <w:proofErr w:type="spellStart"/>
            <w:r>
              <w:rPr>
                <w:bCs/>
              </w:rPr>
              <w:t>RBstart</w:t>
            </w:r>
            <w:proofErr w:type="spellEnd"/>
            <w:r>
              <w:rPr>
                <w:bCs/>
              </w:rPr>
              <w:t>=8, the A-MPR is approximately 4 dB</w:t>
            </w:r>
          </w:p>
          <w:p w14:paraId="333B34E5" w14:textId="77777777" w:rsidR="00EC666E" w:rsidRDefault="00EC666E" w:rsidP="000D4FD5">
            <w:pPr>
              <w:pStyle w:val="ListParagraph"/>
              <w:numPr>
                <w:ilvl w:val="0"/>
                <w:numId w:val="6"/>
              </w:numPr>
              <w:spacing w:after="120"/>
              <w:rPr>
                <w:bCs/>
              </w:rPr>
            </w:pPr>
            <w:r>
              <w:rPr>
                <w:bCs/>
              </w:rPr>
              <w:t xml:space="preserve">Other narrow allocations above </w:t>
            </w:r>
            <w:proofErr w:type="spellStart"/>
            <w:r>
              <w:rPr>
                <w:bCs/>
              </w:rPr>
              <w:t>RBstart</w:t>
            </w:r>
            <w:proofErr w:type="spellEnd"/>
            <w:r>
              <w:rPr>
                <w:bCs/>
              </w:rPr>
              <w:t>=8 need no A-MPR</w:t>
            </w:r>
          </w:p>
          <w:p w14:paraId="19706899" w14:textId="77777777" w:rsidR="00EC666E" w:rsidRDefault="00EC666E" w:rsidP="009C63D0">
            <w:pPr>
              <w:pStyle w:val="ListParagraph"/>
              <w:spacing w:after="120"/>
              <w:ind w:left="0"/>
              <w:rPr>
                <w:bCs/>
              </w:rPr>
            </w:pPr>
          </w:p>
        </w:tc>
      </w:tr>
      <w:tr w:rsidR="00EC666E" w14:paraId="42155306" w14:textId="77777777" w:rsidTr="00EC666E">
        <w:tc>
          <w:tcPr>
            <w:tcW w:w="693" w:type="dxa"/>
          </w:tcPr>
          <w:p w14:paraId="52880CBC" w14:textId="224DDCA9" w:rsidR="00EC666E" w:rsidRDefault="00EC666E" w:rsidP="009C63D0">
            <w:pPr>
              <w:pStyle w:val="ListParagraph"/>
              <w:spacing w:after="120"/>
              <w:ind w:left="0"/>
              <w:rPr>
                <w:bCs/>
              </w:rPr>
            </w:pPr>
            <w:r>
              <w:rPr>
                <w:bCs/>
              </w:rPr>
              <w:t>10</w:t>
            </w:r>
          </w:p>
        </w:tc>
        <w:tc>
          <w:tcPr>
            <w:tcW w:w="1016" w:type="dxa"/>
          </w:tcPr>
          <w:p w14:paraId="2001FA12" w14:textId="69E870E0" w:rsidR="00EC666E" w:rsidRDefault="00EC666E" w:rsidP="009C63D0">
            <w:pPr>
              <w:pStyle w:val="ListParagraph"/>
              <w:spacing w:after="120"/>
              <w:ind w:left="0"/>
              <w:rPr>
                <w:bCs/>
              </w:rPr>
            </w:pPr>
            <w:r>
              <w:rPr>
                <w:bCs/>
              </w:rPr>
              <w:t>2010</w:t>
            </w:r>
          </w:p>
        </w:tc>
        <w:tc>
          <w:tcPr>
            <w:tcW w:w="3945" w:type="dxa"/>
          </w:tcPr>
          <w:p w14:paraId="0935D83F" w14:textId="2C0A748A" w:rsidR="005277C4" w:rsidRDefault="005277C4" w:rsidP="000D4FD5">
            <w:pPr>
              <w:pStyle w:val="ListParagraph"/>
              <w:numPr>
                <w:ilvl w:val="0"/>
                <w:numId w:val="6"/>
              </w:numPr>
              <w:spacing w:after="120"/>
              <w:rPr>
                <w:bCs/>
              </w:rPr>
            </w:pPr>
            <w:r>
              <w:rPr>
                <w:bCs/>
              </w:rPr>
              <w:t xml:space="preserve">For narrow allocations A-MPR is only needed at low edge of the channel below </w:t>
            </w:r>
            <w:proofErr w:type="spellStart"/>
            <w:r>
              <w:rPr>
                <w:bCs/>
              </w:rPr>
              <w:t>RBstart</w:t>
            </w:r>
            <w:proofErr w:type="spellEnd"/>
            <w:r>
              <w:rPr>
                <w:bCs/>
              </w:rPr>
              <w:t>=9 the A-MPR is approximately 4 dB</w:t>
            </w:r>
          </w:p>
          <w:p w14:paraId="71B5A859" w14:textId="472F4D8B" w:rsidR="005277C4" w:rsidRDefault="005277C4" w:rsidP="000D4FD5">
            <w:pPr>
              <w:pStyle w:val="ListParagraph"/>
              <w:numPr>
                <w:ilvl w:val="0"/>
                <w:numId w:val="6"/>
              </w:numPr>
              <w:spacing w:after="120"/>
              <w:rPr>
                <w:bCs/>
              </w:rPr>
            </w:pPr>
            <w:r>
              <w:rPr>
                <w:bCs/>
              </w:rPr>
              <w:t xml:space="preserve">Other narrow allocations above </w:t>
            </w:r>
            <w:proofErr w:type="spellStart"/>
            <w:r>
              <w:rPr>
                <w:bCs/>
              </w:rPr>
              <w:t>RBstart</w:t>
            </w:r>
            <w:proofErr w:type="spellEnd"/>
            <w:r>
              <w:rPr>
                <w:bCs/>
              </w:rPr>
              <w:t>=9 need no A-MPR</w:t>
            </w:r>
          </w:p>
          <w:p w14:paraId="485D79AA" w14:textId="30469D01" w:rsidR="00EC666E" w:rsidRDefault="00EC666E" w:rsidP="009C63D0">
            <w:pPr>
              <w:pStyle w:val="ListParagraph"/>
              <w:spacing w:after="120"/>
              <w:ind w:left="0"/>
              <w:rPr>
                <w:bCs/>
              </w:rPr>
            </w:pPr>
          </w:p>
        </w:tc>
        <w:tc>
          <w:tcPr>
            <w:tcW w:w="3255" w:type="dxa"/>
          </w:tcPr>
          <w:p w14:paraId="3AE10C00" w14:textId="77777777" w:rsidR="005277C4" w:rsidRPr="00990A65" w:rsidRDefault="005277C4" w:rsidP="000D4FD5">
            <w:pPr>
              <w:pStyle w:val="ListParagraph"/>
              <w:numPr>
                <w:ilvl w:val="0"/>
                <w:numId w:val="7"/>
              </w:numPr>
              <w:spacing w:after="120"/>
              <w:rPr>
                <w:bCs/>
              </w:rPr>
            </w:pPr>
            <w:r>
              <w:rPr>
                <w:bCs/>
              </w:rPr>
              <w:t>No A-MPR need was observed for narrow allocations</w:t>
            </w:r>
          </w:p>
          <w:p w14:paraId="451141C7" w14:textId="77777777" w:rsidR="00EC666E" w:rsidRDefault="00EC666E" w:rsidP="009C63D0">
            <w:pPr>
              <w:pStyle w:val="ListParagraph"/>
              <w:spacing w:after="120"/>
              <w:ind w:left="0"/>
              <w:rPr>
                <w:bCs/>
              </w:rPr>
            </w:pPr>
          </w:p>
        </w:tc>
      </w:tr>
      <w:tr w:rsidR="00EC666E" w14:paraId="7450BE29" w14:textId="77777777" w:rsidTr="00EC666E">
        <w:tc>
          <w:tcPr>
            <w:tcW w:w="693" w:type="dxa"/>
          </w:tcPr>
          <w:p w14:paraId="471EDDF4" w14:textId="2F89577B" w:rsidR="00EC666E" w:rsidRDefault="00EC666E" w:rsidP="009C63D0">
            <w:pPr>
              <w:pStyle w:val="ListParagraph"/>
              <w:spacing w:after="120"/>
              <w:ind w:left="0"/>
              <w:rPr>
                <w:bCs/>
              </w:rPr>
            </w:pPr>
            <w:r>
              <w:rPr>
                <w:bCs/>
              </w:rPr>
              <w:t>10</w:t>
            </w:r>
          </w:p>
        </w:tc>
        <w:tc>
          <w:tcPr>
            <w:tcW w:w="1016" w:type="dxa"/>
          </w:tcPr>
          <w:p w14:paraId="7947CD9C" w14:textId="3B939696" w:rsidR="00EC666E" w:rsidRDefault="005277C4" w:rsidP="009C63D0">
            <w:pPr>
              <w:pStyle w:val="ListParagraph"/>
              <w:spacing w:after="120"/>
              <w:ind w:left="0"/>
              <w:rPr>
                <w:bCs/>
              </w:rPr>
            </w:pPr>
            <w:r>
              <w:rPr>
                <w:bCs/>
              </w:rPr>
              <w:t>2015</w:t>
            </w:r>
          </w:p>
        </w:tc>
        <w:tc>
          <w:tcPr>
            <w:tcW w:w="3945" w:type="dxa"/>
          </w:tcPr>
          <w:p w14:paraId="5B4B00F5" w14:textId="77777777" w:rsidR="005277C4" w:rsidRDefault="005277C4" w:rsidP="000D4FD5">
            <w:pPr>
              <w:pStyle w:val="ListParagraph"/>
              <w:numPr>
                <w:ilvl w:val="0"/>
                <w:numId w:val="9"/>
              </w:numPr>
              <w:spacing w:after="120"/>
              <w:rPr>
                <w:bCs/>
              </w:rPr>
            </w:pPr>
            <w:r>
              <w:rPr>
                <w:bCs/>
              </w:rPr>
              <w:t xml:space="preserve">For narrow allocations A-MPR is only needed at low edge of channel, at </w:t>
            </w:r>
            <w:proofErr w:type="spellStart"/>
            <w:r>
              <w:rPr>
                <w:bCs/>
              </w:rPr>
              <w:t>RBstart</w:t>
            </w:r>
            <w:proofErr w:type="spellEnd"/>
            <w:r>
              <w:rPr>
                <w:bCs/>
              </w:rPr>
              <w:t>=3 or below that. A-MPR is approximately 4 dB</w:t>
            </w:r>
          </w:p>
          <w:p w14:paraId="0635AC24" w14:textId="790CC0A7" w:rsidR="00EC666E" w:rsidRDefault="00EC666E" w:rsidP="009C63D0">
            <w:pPr>
              <w:pStyle w:val="ListParagraph"/>
              <w:spacing w:after="120"/>
              <w:ind w:left="0"/>
              <w:rPr>
                <w:bCs/>
              </w:rPr>
            </w:pPr>
          </w:p>
        </w:tc>
        <w:tc>
          <w:tcPr>
            <w:tcW w:w="3255" w:type="dxa"/>
          </w:tcPr>
          <w:p w14:paraId="6F5A44AA" w14:textId="77777777" w:rsidR="005277C4" w:rsidRPr="00990A65" w:rsidRDefault="005277C4" w:rsidP="000D4FD5">
            <w:pPr>
              <w:pStyle w:val="ListParagraph"/>
              <w:numPr>
                <w:ilvl w:val="0"/>
                <w:numId w:val="8"/>
              </w:numPr>
              <w:spacing w:after="120"/>
              <w:rPr>
                <w:bCs/>
              </w:rPr>
            </w:pPr>
            <w:r>
              <w:rPr>
                <w:bCs/>
              </w:rPr>
              <w:t>No A-MPR need was observed for narrow allocations</w:t>
            </w:r>
          </w:p>
          <w:p w14:paraId="54199407" w14:textId="77777777" w:rsidR="00EC666E" w:rsidRDefault="00EC666E" w:rsidP="009C63D0">
            <w:pPr>
              <w:pStyle w:val="ListParagraph"/>
              <w:spacing w:after="120"/>
              <w:ind w:left="0"/>
              <w:rPr>
                <w:bCs/>
              </w:rPr>
            </w:pPr>
          </w:p>
        </w:tc>
      </w:tr>
      <w:tr w:rsidR="00EC666E" w14:paraId="6A67C40D" w14:textId="77777777" w:rsidTr="00EC666E">
        <w:tc>
          <w:tcPr>
            <w:tcW w:w="693" w:type="dxa"/>
          </w:tcPr>
          <w:p w14:paraId="589C2121" w14:textId="56ACFD3C" w:rsidR="00EC666E" w:rsidRDefault="005277C4" w:rsidP="009C63D0">
            <w:pPr>
              <w:pStyle w:val="ListParagraph"/>
              <w:spacing w:after="120"/>
              <w:ind w:left="0"/>
              <w:rPr>
                <w:bCs/>
              </w:rPr>
            </w:pPr>
            <w:r>
              <w:rPr>
                <w:bCs/>
              </w:rPr>
              <w:t>5</w:t>
            </w:r>
          </w:p>
        </w:tc>
        <w:tc>
          <w:tcPr>
            <w:tcW w:w="1016" w:type="dxa"/>
          </w:tcPr>
          <w:p w14:paraId="7E6FD50E" w14:textId="3A917453" w:rsidR="00EC666E" w:rsidRDefault="005277C4" w:rsidP="009C63D0">
            <w:pPr>
              <w:pStyle w:val="ListParagraph"/>
              <w:spacing w:after="120"/>
              <w:ind w:left="0"/>
              <w:rPr>
                <w:bCs/>
              </w:rPr>
            </w:pPr>
            <w:r>
              <w:rPr>
                <w:bCs/>
              </w:rPr>
              <w:t>2002.5</w:t>
            </w:r>
          </w:p>
        </w:tc>
        <w:tc>
          <w:tcPr>
            <w:tcW w:w="3945" w:type="dxa"/>
          </w:tcPr>
          <w:p w14:paraId="2E27C793" w14:textId="77777777" w:rsidR="00775DAB" w:rsidRDefault="00775DAB" w:rsidP="000D4FD5">
            <w:pPr>
              <w:pStyle w:val="ListParagraph"/>
              <w:numPr>
                <w:ilvl w:val="0"/>
                <w:numId w:val="13"/>
              </w:numPr>
              <w:spacing w:after="120"/>
              <w:rPr>
                <w:bCs/>
              </w:rPr>
            </w:pPr>
            <w:r>
              <w:rPr>
                <w:bCs/>
              </w:rPr>
              <w:t xml:space="preserve">Approx 4 dB A-MPR needed for narrow allocations at </w:t>
            </w:r>
            <w:proofErr w:type="spellStart"/>
            <w:r>
              <w:rPr>
                <w:bCs/>
              </w:rPr>
              <w:t>RBstart</w:t>
            </w:r>
            <w:proofErr w:type="spellEnd"/>
            <w:r>
              <w:rPr>
                <w:bCs/>
              </w:rPr>
              <w:t>=3 and below</w:t>
            </w:r>
          </w:p>
          <w:p w14:paraId="78AFE11A" w14:textId="3CDCD1F7" w:rsidR="00EC666E" w:rsidRDefault="00EC666E" w:rsidP="009C63D0">
            <w:pPr>
              <w:pStyle w:val="ListParagraph"/>
              <w:spacing w:after="120"/>
              <w:ind w:left="0"/>
              <w:rPr>
                <w:bCs/>
              </w:rPr>
            </w:pPr>
          </w:p>
        </w:tc>
        <w:tc>
          <w:tcPr>
            <w:tcW w:w="3255" w:type="dxa"/>
          </w:tcPr>
          <w:p w14:paraId="50F82CD3" w14:textId="77777777" w:rsidR="00775DAB" w:rsidRDefault="00775DAB" w:rsidP="000D4FD5">
            <w:pPr>
              <w:pStyle w:val="ListParagraph"/>
              <w:numPr>
                <w:ilvl w:val="0"/>
                <w:numId w:val="12"/>
              </w:numPr>
              <w:spacing w:after="120"/>
              <w:rPr>
                <w:bCs/>
              </w:rPr>
            </w:pPr>
            <w:r>
              <w:rPr>
                <w:bCs/>
              </w:rPr>
              <w:t>No A-MPR needed for narrow allocations</w:t>
            </w:r>
          </w:p>
          <w:p w14:paraId="0E5B94CA" w14:textId="77777777" w:rsidR="00EC666E" w:rsidRDefault="00EC666E" w:rsidP="009C63D0">
            <w:pPr>
              <w:pStyle w:val="ListParagraph"/>
              <w:spacing w:after="120"/>
              <w:ind w:left="0"/>
              <w:rPr>
                <w:bCs/>
              </w:rPr>
            </w:pPr>
          </w:p>
        </w:tc>
      </w:tr>
      <w:tr w:rsidR="00EC666E" w14:paraId="61D2C5BB" w14:textId="77777777" w:rsidTr="00EC666E">
        <w:tc>
          <w:tcPr>
            <w:tcW w:w="693" w:type="dxa"/>
          </w:tcPr>
          <w:p w14:paraId="29D9092E" w14:textId="38FB8EFB" w:rsidR="00EC666E" w:rsidRDefault="005277C4" w:rsidP="009C63D0">
            <w:pPr>
              <w:pStyle w:val="ListParagraph"/>
              <w:spacing w:after="120"/>
              <w:ind w:left="0"/>
              <w:rPr>
                <w:bCs/>
              </w:rPr>
            </w:pPr>
            <w:r>
              <w:rPr>
                <w:bCs/>
              </w:rPr>
              <w:t>5</w:t>
            </w:r>
          </w:p>
        </w:tc>
        <w:tc>
          <w:tcPr>
            <w:tcW w:w="1016" w:type="dxa"/>
          </w:tcPr>
          <w:p w14:paraId="1BDC097C" w14:textId="784ED49C" w:rsidR="00EC666E" w:rsidRDefault="00775DAB" w:rsidP="009C63D0">
            <w:pPr>
              <w:pStyle w:val="ListParagraph"/>
              <w:spacing w:after="120"/>
              <w:ind w:left="0"/>
              <w:rPr>
                <w:bCs/>
              </w:rPr>
            </w:pPr>
            <w:r>
              <w:rPr>
                <w:bCs/>
              </w:rPr>
              <w:t>2007.5</w:t>
            </w:r>
          </w:p>
        </w:tc>
        <w:tc>
          <w:tcPr>
            <w:tcW w:w="3945" w:type="dxa"/>
          </w:tcPr>
          <w:p w14:paraId="3321AAB5" w14:textId="77777777" w:rsidR="00775DAB" w:rsidRDefault="00775DAB" w:rsidP="000D4FD5">
            <w:pPr>
              <w:pStyle w:val="ListParagraph"/>
              <w:numPr>
                <w:ilvl w:val="0"/>
                <w:numId w:val="10"/>
              </w:numPr>
              <w:spacing w:after="120"/>
              <w:rPr>
                <w:bCs/>
              </w:rPr>
            </w:pPr>
            <w:r>
              <w:rPr>
                <w:bCs/>
              </w:rPr>
              <w:t>No A-MPR needed for narrow allocations</w:t>
            </w:r>
          </w:p>
          <w:p w14:paraId="0641F71E" w14:textId="40B5DC95" w:rsidR="00EC666E" w:rsidRDefault="00EC666E" w:rsidP="009C63D0">
            <w:pPr>
              <w:pStyle w:val="ListParagraph"/>
              <w:spacing w:after="120"/>
              <w:ind w:left="0"/>
              <w:rPr>
                <w:bCs/>
              </w:rPr>
            </w:pPr>
          </w:p>
        </w:tc>
        <w:tc>
          <w:tcPr>
            <w:tcW w:w="3255" w:type="dxa"/>
          </w:tcPr>
          <w:p w14:paraId="5C041E7E" w14:textId="77777777" w:rsidR="00775DAB" w:rsidRDefault="00775DAB" w:rsidP="000D4FD5">
            <w:pPr>
              <w:pStyle w:val="ListParagraph"/>
              <w:numPr>
                <w:ilvl w:val="0"/>
                <w:numId w:val="11"/>
              </w:numPr>
              <w:spacing w:after="120"/>
              <w:rPr>
                <w:bCs/>
              </w:rPr>
            </w:pPr>
            <w:r>
              <w:rPr>
                <w:bCs/>
              </w:rPr>
              <w:t>No A-MPR needed for narrow allocations</w:t>
            </w:r>
          </w:p>
          <w:p w14:paraId="2BB1DF5D" w14:textId="77777777" w:rsidR="00EC666E" w:rsidRDefault="00EC666E" w:rsidP="009C63D0">
            <w:pPr>
              <w:pStyle w:val="ListParagraph"/>
              <w:spacing w:after="120"/>
              <w:ind w:left="0"/>
              <w:rPr>
                <w:bCs/>
              </w:rPr>
            </w:pPr>
          </w:p>
        </w:tc>
      </w:tr>
    </w:tbl>
    <w:p w14:paraId="374D9069" w14:textId="25CCCCE7" w:rsidR="009C63D0" w:rsidRPr="009C63D0" w:rsidRDefault="009C63D0" w:rsidP="009C63D0">
      <w:pPr>
        <w:pStyle w:val="ListParagraph"/>
        <w:spacing w:after="120"/>
        <w:rPr>
          <w:bCs/>
        </w:rPr>
      </w:pPr>
    </w:p>
    <w:p w14:paraId="538A191C" w14:textId="572F91B9" w:rsidR="001D3E58" w:rsidRDefault="002F1B79" w:rsidP="00445E27">
      <w:pPr>
        <w:spacing w:after="120"/>
        <w:rPr>
          <w:bCs/>
        </w:rPr>
      </w:pPr>
      <w:r>
        <w:rPr>
          <w:bCs/>
        </w:rPr>
        <w:t xml:space="preserve">Some observations can be made from the data. Firstly, if the emission requirement is set at -50 dBm/MHz, </w:t>
      </w:r>
      <w:r w:rsidR="00DB0179">
        <w:rPr>
          <w:bCs/>
        </w:rPr>
        <w:t>A-MPR will be needed both for 10 MHz and 5 MHz CBW at low edge of the band. For 10 MHz CBW some A-MPR is needed also at the top end of the band. If operator has flexibility on the channel bandwidth arrangement within the band, then it is possible to reduce the number of impacted allocations by placing narrower CBW closer to the emission limit</w:t>
      </w:r>
      <w:r w:rsidR="001D3E58">
        <w:rPr>
          <w:bCs/>
        </w:rPr>
        <w:t>, but this does not completely remove the need for A-MPR.</w:t>
      </w:r>
    </w:p>
    <w:p w14:paraId="3D334B69" w14:textId="3695C5F5" w:rsidR="00791877" w:rsidRPr="00FE3CDC" w:rsidRDefault="00791877" w:rsidP="00445E27">
      <w:pPr>
        <w:spacing w:after="120"/>
        <w:rPr>
          <w:b/>
        </w:rPr>
      </w:pPr>
      <w:r w:rsidRPr="00FE3CDC">
        <w:rPr>
          <w:b/>
        </w:rPr>
        <w:t xml:space="preserve">Observation 1: -50 dBm/MHz emission limit below 1995 MHz will result in </w:t>
      </w:r>
      <w:r w:rsidR="00A549DC" w:rsidRPr="00FE3CDC">
        <w:rPr>
          <w:b/>
        </w:rPr>
        <w:t xml:space="preserve">A-MPR, and depending on the channel bandwidth arrangement the A-MPR can be large, around 10 dB, effectively making some RB allocations </w:t>
      </w:r>
      <w:r w:rsidR="00FE3CDC" w:rsidRPr="00FE3CDC">
        <w:rPr>
          <w:b/>
        </w:rPr>
        <w:t>unusable.</w:t>
      </w:r>
      <w:r w:rsidR="00FE3CDC">
        <w:rPr>
          <w:b/>
        </w:rPr>
        <w:t xml:space="preserve"> Some A-MPR is needed for 10 MHz CBW even when placed at the top end of n252.</w:t>
      </w:r>
    </w:p>
    <w:p w14:paraId="40853836" w14:textId="4C2E20C2" w:rsidR="001D3E58" w:rsidRDefault="001D3E58" w:rsidP="00445E27">
      <w:pPr>
        <w:spacing w:after="120"/>
        <w:rPr>
          <w:bCs/>
        </w:rPr>
      </w:pPr>
      <w:r>
        <w:rPr>
          <w:bCs/>
        </w:rPr>
        <w:t xml:space="preserve">If the emission limit is </w:t>
      </w:r>
      <w:r w:rsidR="00FE3CDC">
        <w:rPr>
          <w:bCs/>
        </w:rPr>
        <w:t>set to -30 dBm/MHz, A-MPR is needed only for some RB allocations in 10 MHz CBW, and only in case 10 MHz CBW is placed at the low end of n252.</w:t>
      </w:r>
    </w:p>
    <w:p w14:paraId="1BFF7BFB" w14:textId="77777777" w:rsidR="002252F6" w:rsidRDefault="002252F6" w:rsidP="002252F6">
      <w:pPr>
        <w:spacing w:after="120"/>
        <w:rPr>
          <w:b/>
        </w:rPr>
      </w:pPr>
      <w:r w:rsidRPr="00FE3CDC">
        <w:rPr>
          <w:b/>
        </w:rPr>
        <w:t xml:space="preserve">Observation </w:t>
      </w:r>
      <w:r>
        <w:rPr>
          <w:b/>
        </w:rPr>
        <w:t>2</w:t>
      </w:r>
      <w:r w:rsidRPr="00FE3CDC">
        <w:rPr>
          <w:b/>
        </w:rPr>
        <w:t>: -</w:t>
      </w:r>
      <w:r>
        <w:rPr>
          <w:b/>
        </w:rPr>
        <w:t>3</w:t>
      </w:r>
      <w:r w:rsidRPr="00FE3CDC">
        <w:rPr>
          <w:b/>
        </w:rPr>
        <w:t>0 dBm/MHz emission limit below 1995 MHz will result in A-MPR</w:t>
      </w:r>
      <w:r>
        <w:rPr>
          <w:b/>
        </w:rPr>
        <w:t xml:space="preserve"> </w:t>
      </w:r>
      <w:r w:rsidRPr="00FE3CDC">
        <w:rPr>
          <w:b/>
        </w:rPr>
        <w:t xml:space="preserve">only for some RB allocations </w:t>
      </w:r>
      <w:r>
        <w:rPr>
          <w:b/>
        </w:rPr>
        <w:t xml:space="preserve">and only </w:t>
      </w:r>
      <w:r w:rsidRPr="00FE3CDC">
        <w:rPr>
          <w:b/>
        </w:rPr>
        <w:t>in 10 MHz CBW</w:t>
      </w:r>
      <w:r>
        <w:rPr>
          <w:b/>
        </w:rPr>
        <w:t>.</w:t>
      </w:r>
      <w:r w:rsidRPr="006F0540">
        <w:rPr>
          <w:b/>
        </w:rPr>
        <w:t xml:space="preserve"> </w:t>
      </w:r>
      <w:r>
        <w:rPr>
          <w:b/>
        </w:rPr>
        <w:t>This happens only when</w:t>
      </w:r>
      <w:r w:rsidRPr="00FE3CDC">
        <w:rPr>
          <w:b/>
        </w:rPr>
        <w:t xml:space="preserve"> 10 MHz CBW is placed at the low end of n252.</w:t>
      </w:r>
    </w:p>
    <w:p w14:paraId="10384AFE" w14:textId="1CE3DD68" w:rsidR="00FE3CDC" w:rsidRDefault="00FF745C" w:rsidP="00445E27">
      <w:pPr>
        <w:spacing w:after="120"/>
        <w:rPr>
          <w:bCs/>
        </w:rPr>
      </w:pPr>
      <w:r>
        <w:rPr>
          <w:bCs/>
        </w:rPr>
        <w:t xml:space="preserve">Generally, -30 dBm/MHz emission limit </w:t>
      </w:r>
      <w:r w:rsidR="006C32EE">
        <w:rPr>
          <w:bCs/>
        </w:rPr>
        <w:t xml:space="preserve">more closely matches the WF </w:t>
      </w:r>
      <w:r w:rsidR="00A768E4">
        <w:rPr>
          <w:bCs/>
        </w:rPr>
        <w:t xml:space="preserve">on allowing </w:t>
      </w:r>
      <w:r w:rsidR="00E82042">
        <w:rPr>
          <w:bCs/>
        </w:rPr>
        <w:t>NTN service to work effectively across the full n252 band.</w:t>
      </w:r>
    </w:p>
    <w:p w14:paraId="4BA6A3D4" w14:textId="165D1459" w:rsidR="0031163F" w:rsidRDefault="00E82042" w:rsidP="00445E27">
      <w:pPr>
        <w:spacing w:after="120"/>
        <w:rPr>
          <w:bCs/>
        </w:rPr>
      </w:pPr>
      <w:r>
        <w:rPr>
          <w:bCs/>
        </w:rPr>
        <w:t xml:space="preserve">Based on the </w:t>
      </w:r>
      <w:r w:rsidR="009710A6">
        <w:rPr>
          <w:bCs/>
        </w:rPr>
        <w:t xml:space="preserve">deterministic </w:t>
      </w:r>
      <w:r>
        <w:rPr>
          <w:bCs/>
        </w:rPr>
        <w:t xml:space="preserve">analysis provided in previous meetings, </w:t>
      </w:r>
      <w:r w:rsidR="00BF2E6D">
        <w:rPr>
          <w:bCs/>
        </w:rPr>
        <w:t>a</w:t>
      </w:r>
      <w:r w:rsidR="00BF2E6D" w:rsidRPr="00BF2E6D">
        <w:rPr>
          <w:bCs/>
        </w:rPr>
        <w:t>pproximately 10 meter UE-to-UE separation distance with -30 dBm/MHz limit corresponds to -50 dBm/MHz limit and 1 meter UE-to-UE separation.</w:t>
      </w:r>
      <w:r w:rsidR="0031163F">
        <w:rPr>
          <w:bCs/>
        </w:rPr>
        <w:t xml:space="preserve"> </w:t>
      </w:r>
    </w:p>
    <w:p w14:paraId="090B4BD2" w14:textId="10B740E6" w:rsidR="00E82042" w:rsidRPr="0031163F" w:rsidRDefault="0031163F" w:rsidP="00445E27">
      <w:pPr>
        <w:spacing w:after="120"/>
        <w:rPr>
          <w:b/>
        </w:rPr>
      </w:pPr>
      <w:r w:rsidRPr="0031163F">
        <w:rPr>
          <w:b/>
        </w:rPr>
        <w:t xml:space="preserve">Observation 3: </w:t>
      </w:r>
      <w:r w:rsidR="0034366D">
        <w:rPr>
          <w:b/>
        </w:rPr>
        <w:t>A relaxed emission limit allows more flexibility for NTN UL operation.</w:t>
      </w:r>
      <w:r w:rsidR="00BA37DD" w:rsidRPr="00BA37DD">
        <w:rPr>
          <w:b/>
        </w:rPr>
        <w:t xml:space="preserve"> </w:t>
      </w:r>
      <w:r w:rsidR="00BF2E6D" w:rsidRPr="00BA37DD">
        <w:rPr>
          <w:b/>
        </w:rPr>
        <w:t xml:space="preserve">Approximately 10 meter UE-to-UE separation distance with -30 dBm/MHz </w:t>
      </w:r>
      <w:r w:rsidR="00BF2E6D">
        <w:rPr>
          <w:b/>
        </w:rPr>
        <w:t xml:space="preserve">limit corresponds to </w:t>
      </w:r>
      <w:r w:rsidR="00BF2E6D" w:rsidRPr="00BA37DD">
        <w:rPr>
          <w:b/>
        </w:rPr>
        <w:t>-50 dBm/MHz limit and 1 meter UE-to-UE separation</w:t>
      </w:r>
      <w:r w:rsidR="00BF2E6D">
        <w:rPr>
          <w:b/>
        </w:rPr>
        <w:t xml:space="preserve">. </w:t>
      </w:r>
      <w:r w:rsidR="00BF2E6D" w:rsidRPr="0031163F">
        <w:rPr>
          <w:b/>
        </w:rPr>
        <w:t xml:space="preserve"> </w:t>
      </w:r>
    </w:p>
    <w:p w14:paraId="08C92E8D" w14:textId="77777777" w:rsidR="00791877" w:rsidRDefault="00791877" w:rsidP="00445E27">
      <w:pPr>
        <w:spacing w:after="120"/>
        <w:rPr>
          <w:bCs/>
        </w:rPr>
      </w:pPr>
    </w:p>
    <w:p w14:paraId="7E7C09B3" w14:textId="77777777" w:rsidR="002F1B79" w:rsidRPr="00637ECA" w:rsidRDefault="002F1B79"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lastRenderedPageBreak/>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731CE64F" w:rsidR="00D645D7" w:rsidRDefault="005F7C8C" w:rsidP="004F6404">
      <w:pPr>
        <w:spacing w:after="120"/>
        <w:jc w:val="both"/>
        <w:rPr>
          <w:lang w:eastAsia="ja-JP"/>
        </w:rPr>
      </w:pPr>
      <w:r w:rsidRPr="00501988">
        <w:rPr>
          <w:lang w:eastAsia="ja-JP"/>
        </w:rPr>
        <w:t xml:space="preserve">In this </w:t>
      </w:r>
      <w:r w:rsidR="003D23A8">
        <w:rPr>
          <w:lang w:eastAsia="ja-JP"/>
        </w:rPr>
        <w:t>contribution co-existence between new NTN S-band and adjacent 3GPP bands</w:t>
      </w:r>
      <w:r w:rsidR="00522FB9">
        <w:rPr>
          <w:lang w:eastAsia="ja-JP"/>
        </w:rPr>
        <w:t xml:space="preserve"> </w:t>
      </w:r>
      <w:r w:rsidR="003D23A8">
        <w:rPr>
          <w:lang w:eastAsia="ja-JP"/>
        </w:rPr>
        <w:t>was</w:t>
      </w:r>
      <w:r w:rsidR="00522FB9">
        <w:rPr>
          <w:lang w:eastAsia="ja-JP"/>
        </w:rPr>
        <w:t xml:space="preserve"> discussed</w:t>
      </w:r>
      <w:r w:rsidR="00EB3836">
        <w:rPr>
          <w:lang w:eastAsia="ja-JP"/>
        </w:rPr>
        <w:t xml:space="preserve">. Following </w:t>
      </w:r>
      <w:r w:rsidR="00B26CCB">
        <w:rPr>
          <w:lang w:eastAsia="ja-JP"/>
        </w:rPr>
        <w:t xml:space="preserve">observations </w:t>
      </w:r>
      <w:r w:rsidR="00EB3836">
        <w:rPr>
          <w:lang w:eastAsia="ja-JP"/>
        </w:rPr>
        <w:t>were made</w:t>
      </w:r>
      <w:r w:rsidR="003D23A8">
        <w:rPr>
          <w:lang w:eastAsia="ja-JP"/>
        </w:rPr>
        <w:t>.</w:t>
      </w:r>
    </w:p>
    <w:p w14:paraId="24006A27" w14:textId="77777777" w:rsidR="00BA37DD" w:rsidRPr="00FE3CDC" w:rsidRDefault="00BA37DD" w:rsidP="00BA37DD">
      <w:pPr>
        <w:spacing w:after="120"/>
        <w:rPr>
          <w:b/>
        </w:rPr>
      </w:pPr>
      <w:r w:rsidRPr="00FE3CDC">
        <w:rPr>
          <w:b/>
        </w:rPr>
        <w:t>Observation 1: -50 dBm/MHz emission limit below 1995 MHz will result in A-MPR, and depending on the channel bandwidth arrangement the A-MPR can be large, around 10 dB, effectively making some RB allocations unusable.</w:t>
      </w:r>
      <w:r>
        <w:rPr>
          <w:b/>
        </w:rPr>
        <w:t xml:space="preserve"> Some A-MPR is needed for 10 MHz CBW even when placed at the top end of n252.</w:t>
      </w:r>
    </w:p>
    <w:p w14:paraId="078CAF33" w14:textId="5A74B9B8" w:rsidR="00BA37DD" w:rsidRDefault="00BA37DD" w:rsidP="00BA37DD">
      <w:pPr>
        <w:spacing w:after="120"/>
        <w:rPr>
          <w:b/>
        </w:rPr>
      </w:pPr>
      <w:r w:rsidRPr="00FE3CDC">
        <w:rPr>
          <w:b/>
        </w:rPr>
        <w:t xml:space="preserve">Observation </w:t>
      </w:r>
      <w:r>
        <w:rPr>
          <w:b/>
        </w:rPr>
        <w:t>2</w:t>
      </w:r>
      <w:r w:rsidRPr="00FE3CDC">
        <w:rPr>
          <w:b/>
        </w:rPr>
        <w:t>: -</w:t>
      </w:r>
      <w:r>
        <w:rPr>
          <w:b/>
        </w:rPr>
        <w:t>3</w:t>
      </w:r>
      <w:r w:rsidRPr="00FE3CDC">
        <w:rPr>
          <w:b/>
        </w:rPr>
        <w:t>0 dBm/MHz emission limit below 1995 MHz will result in A-MPR</w:t>
      </w:r>
      <w:r>
        <w:rPr>
          <w:b/>
        </w:rPr>
        <w:t xml:space="preserve"> </w:t>
      </w:r>
      <w:r w:rsidRPr="00FE3CDC">
        <w:rPr>
          <w:b/>
        </w:rPr>
        <w:t xml:space="preserve">only for some RB allocations </w:t>
      </w:r>
      <w:r w:rsidR="002252F6">
        <w:rPr>
          <w:b/>
        </w:rPr>
        <w:t xml:space="preserve">and only </w:t>
      </w:r>
      <w:r w:rsidRPr="00FE3CDC">
        <w:rPr>
          <w:b/>
        </w:rPr>
        <w:t>in 10 MHz CBW</w:t>
      </w:r>
      <w:r w:rsidR="006F0540">
        <w:rPr>
          <w:b/>
        </w:rPr>
        <w:t>.</w:t>
      </w:r>
      <w:r w:rsidR="006F0540" w:rsidRPr="006F0540">
        <w:rPr>
          <w:b/>
        </w:rPr>
        <w:t xml:space="preserve"> </w:t>
      </w:r>
      <w:r w:rsidR="006F0540">
        <w:rPr>
          <w:b/>
        </w:rPr>
        <w:t>This happens only when</w:t>
      </w:r>
      <w:r w:rsidR="006F0540" w:rsidRPr="00FE3CDC">
        <w:rPr>
          <w:b/>
        </w:rPr>
        <w:t xml:space="preserve"> 10 MHz CBW is placed at the low end of n252.</w:t>
      </w:r>
    </w:p>
    <w:p w14:paraId="184DFBE0" w14:textId="133E75E4" w:rsidR="00BA37DD" w:rsidRPr="00FE3CDC" w:rsidRDefault="00BA37DD" w:rsidP="00BA37DD">
      <w:pPr>
        <w:spacing w:after="120"/>
        <w:rPr>
          <w:b/>
        </w:rPr>
      </w:pPr>
      <w:r w:rsidRPr="0031163F">
        <w:rPr>
          <w:b/>
        </w:rPr>
        <w:t xml:space="preserve">Observation 3: </w:t>
      </w:r>
      <w:r>
        <w:rPr>
          <w:b/>
        </w:rPr>
        <w:t>A relaxed emission limit allows more flexibility for NTN UL operation.</w:t>
      </w:r>
      <w:r w:rsidRPr="00BA37DD">
        <w:rPr>
          <w:b/>
        </w:rPr>
        <w:t xml:space="preserve"> Approximately 10 meter UE-to-UE separation distance with -30 dBm/MHz </w:t>
      </w:r>
      <w:r w:rsidR="00BF2E6D">
        <w:rPr>
          <w:b/>
        </w:rPr>
        <w:t xml:space="preserve">limit corresponds to </w:t>
      </w:r>
      <w:r w:rsidRPr="00BA37DD">
        <w:rPr>
          <w:b/>
        </w:rPr>
        <w:t>-50 dBm/MHz limit and 1 meter UE-to-UE separation</w:t>
      </w:r>
      <w:r>
        <w:rPr>
          <w:b/>
        </w:rPr>
        <w:t xml:space="preserve">. </w:t>
      </w:r>
      <w:r w:rsidRPr="0031163F">
        <w:rPr>
          <w:b/>
        </w:rPr>
        <w:t xml:space="preserve"> </w:t>
      </w:r>
    </w:p>
    <w:p w14:paraId="6571B7C6" w14:textId="77777777" w:rsidR="003D23A8" w:rsidRPr="00E12796" w:rsidRDefault="003D23A8" w:rsidP="003D23A8">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696E7940" w14:textId="1637C77C" w:rsidR="00C62E96" w:rsidRDefault="00C62E96" w:rsidP="000D4FD5">
      <w:pPr>
        <w:widowControl w:val="0"/>
        <w:numPr>
          <w:ilvl w:val="0"/>
          <w:numId w:val="3"/>
        </w:numPr>
        <w:overflowPunct w:val="0"/>
        <w:autoSpaceDE w:val="0"/>
        <w:autoSpaceDN w:val="0"/>
        <w:adjustRightInd w:val="0"/>
        <w:spacing w:before="120" w:after="120"/>
        <w:jc w:val="both"/>
        <w:textAlignment w:val="baseline"/>
      </w:pPr>
      <w:r>
        <w:t>RP-24</w:t>
      </w:r>
      <w:r w:rsidR="00C32922">
        <w:t>1885</w:t>
      </w:r>
      <w:r>
        <w:t xml:space="preserve">, </w:t>
      </w:r>
      <w:r w:rsidR="00C32922" w:rsidRPr="00C32922">
        <w:t>Revised WID on Introduction of another NR NTN S-band (MSS band 2000-2020 MHz UL and 2180-2200 MHz DL)</w:t>
      </w:r>
      <w:r>
        <w:t xml:space="preserve">, </w:t>
      </w:r>
      <w:r w:rsidR="00CE1369">
        <w:t>Qualcomm Incorporated</w:t>
      </w:r>
    </w:p>
    <w:p w14:paraId="5BC32A4B" w14:textId="42F7D450" w:rsidR="00093461" w:rsidRPr="00351616" w:rsidRDefault="00DE53D7" w:rsidP="000D4FD5">
      <w:pPr>
        <w:widowControl w:val="0"/>
        <w:numPr>
          <w:ilvl w:val="0"/>
          <w:numId w:val="3"/>
        </w:numPr>
        <w:overflowPunct w:val="0"/>
        <w:autoSpaceDE w:val="0"/>
        <w:autoSpaceDN w:val="0"/>
        <w:adjustRightInd w:val="0"/>
        <w:spacing w:before="120" w:after="120"/>
        <w:jc w:val="both"/>
        <w:textAlignment w:val="baseline"/>
      </w:pPr>
      <w:r w:rsidRPr="00DE53D7">
        <w:t>R4-2417</w:t>
      </w:r>
      <w:r w:rsidR="0096403D">
        <w:t>206</w:t>
      </w:r>
      <w:r>
        <w:t>, WF on NTN and IoT NTN bands, Moderator (Inmarsat)</w:t>
      </w:r>
    </w:p>
    <w:sectPr w:rsidR="00093461" w:rsidRPr="00351616"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4AC91" w14:textId="77777777" w:rsidR="00A444A1" w:rsidRDefault="00A444A1">
      <w:r>
        <w:separator/>
      </w:r>
    </w:p>
  </w:endnote>
  <w:endnote w:type="continuationSeparator" w:id="0">
    <w:p w14:paraId="16A487A2" w14:textId="77777777" w:rsidR="00A444A1" w:rsidRDefault="00A444A1">
      <w:r>
        <w:continuationSeparator/>
      </w:r>
    </w:p>
  </w:endnote>
  <w:endnote w:type="continuationNotice" w:id="1">
    <w:p w14:paraId="6BF8FF22" w14:textId="77777777" w:rsidR="00A444A1" w:rsidRDefault="00A44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7AA71" w14:textId="77777777" w:rsidR="00A444A1" w:rsidRDefault="00A444A1">
      <w:r>
        <w:separator/>
      </w:r>
    </w:p>
  </w:footnote>
  <w:footnote w:type="continuationSeparator" w:id="0">
    <w:p w14:paraId="7E3CF4F1" w14:textId="77777777" w:rsidR="00A444A1" w:rsidRDefault="00A444A1">
      <w:r>
        <w:continuationSeparator/>
      </w:r>
    </w:p>
  </w:footnote>
  <w:footnote w:type="continuationNotice" w:id="1">
    <w:p w14:paraId="718B0CA2" w14:textId="77777777" w:rsidR="00A444A1" w:rsidRDefault="00A444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0"/>
  </w:num>
  <w:num w:numId="2" w16cid:durableId="1813211327">
    <w:abstractNumId w:val="6"/>
  </w:num>
  <w:num w:numId="3" w16cid:durableId="56514189">
    <w:abstractNumId w:val="1"/>
  </w:num>
  <w:num w:numId="4" w16cid:durableId="343019769">
    <w:abstractNumId w:val="5"/>
  </w:num>
  <w:num w:numId="5" w16cid:durableId="1274551697">
    <w:abstractNumId w:val="11"/>
  </w:num>
  <w:num w:numId="6" w16cid:durableId="747773055">
    <w:abstractNumId w:val="12"/>
  </w:num>
  <w:num w:numId="7" w16cid:durableId="1909345482">
    <w:abstractNumId w:val="2"/>
  </w:num>
  <w:num w:numId="8" w16cid:durableId="1735469130">
    <w:abstractNumId w:val="9"/>
  </w:num>
  <w:num w:numId="9" w16cid:durableId="1104688605">
    <w:abstractNumId w:val="0"/>
  </w:num>
  <w:num w:numId="10" w16cid:durableId="422452873">
    <w:abstractNumId w:val="3"/>
  </w:num>
  <w:num w:numId="11" w16cid:durableId="1490246687">
    <w:abstractNumId w:val="8"/>
  </w:num>
  <w:num w:numId="12" w16cid:durableId="1700735713">
    <w:abstractNumId w:val="4"/>
  </w:num>
  <w:num w:numId="13" w16cid:durableId="174773001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4FD5"/>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80A"/>
    <w:rsid w:val="001958B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A5FB5"/>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E58"/>
    <w:rsid w:val="001D3F6C"/>
    <w:rsid w:val="001D53C6"/>
    <w:rsid w:val="001D5541"/>
    <w:rsid w:val="001D6A35"/>
    <w:rsid w:val="001D6E24"/>
    <w:rsid w:val="001D7B17"/>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60C1"/>
    <w:rsid w:val="0020667C"/>
    <w:rsid w:val="002068F7"/>
    <w:rsid w:val="00206D2D"/>
    <w:rsid w:val="00206DCE"/>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D8E"/>
    <w:rsid w:val="00220F20"/>
    <w:rsid w:val="00220F26"/>
    <w:rsid w:val="0022110B"/>
    <w:rsid w:val="00221356"/>
    <w:rsid w:val="00222080"/>
    <w:rsid w:val="002223B1"/>
    <w:rsid w:val="002230F6"/>
    <w:rsid w:val="0022443D"/>
    <w:rsid w:val="0022452C"/>
    <w:rsid w:val="002252F6"/>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40F8B"/>
    <w:rsid w:val="002413A7"/>
    <w:rsid w:val="002418D0"/>
    <w:rsid w:val="00241B8F"/>
    <w:rsid w:val="00241D56"/>
    <w:rsid w:val="0024222C"/>
    <w:rsid w:val="0024244B"/>
    <w:rsid w:val="0024293C"/>
    <w:rsid w:val="002430EF"/>
    <w:rsid w:val="00243158"/>
    <w:rsid w:val="00243664"/>
    <w:rsid w:val="00243CAB"/>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8EB"/>
    <w:rsid w:val="00265677"/>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4F3E"/>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163F"/>
    <w:rsid w:val="00311E01"/>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66D"/>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533D"/>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285A"/>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038"/>
    <w:rsid w:val="004B561B"/>
    <w:rsid w:val="004B5834"/>
    <w:rsid w:val="004B5E77"/>
    <w:rsid w:val="004B6EAB"/>
    <w:rsid w:val="004B709F"/>
    <w:rsid w:val="004B70E7"/>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AA"/>
    <w:rsid w:val="00532631"/>
    <w:rsid w:val="005329AC"/>
    <w:rsid w:val="00532B8C"/>
    <w:rsid w:val="00534081"/>
    <w:rsid w:val="005342E1"/>
    <w:rsid w:val="00534782"/>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3A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6ABC"/>
    <w:rsid w:val="00577194"/>
    <w:rsid w:val="005771DF"/>
    <w:rsid w:val="0057724A"/>
    <w:rsid w:val="00580944"/>
    <w:rsid w:val="00580B10"/>
    <w:rsid w:val="0058146B"/>
    <w:rsid w:val="00581AB3"/>
    <w:rsid w:val="0058246E"/>
    <w:rsid w:val="00582A98"/>
    <w:rsid w:val="00582F5F"/>
    <w:rsid w:val="00585EEE"/>
    <w:rsid w:val="0058610F"/>
    <w:rsid w:val="005867A1"/>
    <w:rsid w:val="005878DA"/>
    <w:rsid w:val="00587958"/>
    <w:rsid w:val="005900B9"/>
    <w:rsid w:val="0059059C"/>
    <w:rsid w:val="00590610"/>
    <w:rsid w:val="00590782"/>
    <w:rsid w:val="00590B71"/>
    <w:rsid w:val="00590F7D"/>
    <w:rsid w:val="005916C8"/>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426E"/>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18A"/>
    <w:rsid w:val="0069044E"/>
    <w:rsid w:val="00690756"/>
    <w:rsid w:val="0069161D"/>
    <w:rsid w:val="00691BB7"/>
    <w:rsid w:val="006928F4"/>
    <w:rsid w:val="00692A36"/>
    <w:rsid w:val="00693555"/>
    <w:rsid w:val="00693692"/>
    <w:rsid w:val="006937A0"/>
    <w:rsid w:val="00693B58"/>
    <w:rsid w:val="00693DA5"/>
    <w:rsid w:val="00693FC0"/>
    <w:rsid w:val="00694766"/>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2EE"/>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59E6"/>
    <w:rsid w:val="006E6033"/>
    <w:rsid w:val="006E618F"/>
    <w:rsid w:val="006E6903"/>
    <w:rsid w:val="006F0540"/>
    <w:rsid w:val="006F0762"/>
    <w:rsid w:val="006F0DFF"/>
    <w:rsid w:val="006F1186"/>
    <w:rsid w:val="006F128D"/>
    <w:rsid w:val="006F1587"/>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645"/>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51D"/>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E1879"/>
    <w:rsid w:val="008E1980"/>
    <w:rsid w:val="008E1BD4"/>
    <w:rsid w:val="008E2353"/>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169C"/>
    <w:rsid w:val="009622A5"/>
    <w:rsid w:val="00962B84"/>
    <w:rsid w:val="00964021"/>
    <w:rsid w:val="0096403D"/>
    <w:rsid w:val="00964673"/>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0716"/>
    <w:rsid w:val="00990A65"/>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5AB"/>
    <w:rsid w:val="009B0631"/>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6416"/>
    <w:rsid w:val="00A97473"/>
    <w:rsid w:val="00AA0815"/>
    <w:rsid w:val="00AA0D32"/>
    <w:rsid w:val="00AA0F64"/>
    <w:rsid w:val="00AA1356"/>
    <w:rsid w:val="00AA1FFE"/>
    <w:rsid w:val="00AA22B8"/>
    <w:rsid w:val="00AA305A"/>
    <w:rsid w:val="00AA46E9"/>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4EB0"/>
    <w:rsid w:val="00AC6A88"/>
    <w:rsid w:val="00AC7A58"/>
    <w:rsid w:val="00AC7E27"/>
    <w:rsid w:val="00AD024F"/>
    <w:rsid w:val="00AD0352"/>
    <w:rsid w:val="00AD0410"/>
    <w:rsid w:val="00AD0548"/>
    <w:rsid w:val="00AD10CE"/>
    <w:rsid w:val="00AD1506"/>
    <w:rsid w:val="00AD19B7"/>
    <w:rsid w:val="00AD1E26"/>
    <w:rsid w:val="00AD23D8"/>
    <w:rsid w:val="00AD2BC1"/>
    <w:rsid w:val="00AD3169"/>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2607"/>
    <w:rsid w:val="00B326E9"/>
    <w:rsid w:val="00B3403D"/>
    <w:rsid w:val="00B34460"/>
    <w:rsid w:val="00B3456E"/>
    <w:rsid w:val="00B34585"/>
    <w:rsid w:val="00B347A0"/>
    <w:rsid w:val="00B35DC0"/>
    <w:rsid w:val="00B35F1A"/>
    <w:rsid w:val="00B3633E"/>
    <w:rsid w:val="00B370EB"/>
    <w:rsid w:val="00B374C0"/>
    <w:rsid w:val="00B37840"/>
    <w:rsid w:val="00B37C78"/>
    <w:rsid w:val="00B402DC"/>
    <w:rsid w:val="00B40A4E"/>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97971"/>
    <w:rsid w:val="00BA034E"/>
    <w:rsid w:val="00BA0575"/>
    <w:rsid w:val="00BA0BE3"/>
    <w:rsid w:val="00BA0C35"/>
    <w:rsid w:val="00BA10C5"/>
    <w:rsid w:val="00BA183B"/>
    <w:rsid w:val="00BA209F"/>
    <w:rsid w:val="00BA2B45"/>
    <w:rsid w:val="00BA37DD"/>
    <w:rsid w:val="00BA38D1"/>
    <w:rsid w:val="00BA39AA"/>
    <w:rsid w:val="00BA3DEB"/>
    <w:rsid w:val="00BA3EA2"/>
    <w:rsid w:val="00BA4528"/>
    <w:rsid w:val="00BA5E01"/>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D22"/>
    <w:rsid w:val="00BC3397"/>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4407"/>
    <w:rsid w:val="00BF4BD5"/>
    <w:rsid w:val="00BF4CA5"/>
    <w:rsid w:val="00BF5324"/>
    <w:rsid w:val="00BF5D19"/>
    <w:rsid w:val="00BF5D90"/>
    <w:rsid w:val="00BF5FBA"/>
    <w:rsid w:val="00BF61F4"/>
    <w:rsid w:val="00BF636C"/>
    <w:rsid w:val="00BF7478"/>
    <w:rsid w:val="00C00257"/>
    <w:rsid w:val="00C00E22"/>
    <w:rsid w:val="00C0105D"/>
    <w:rsid w:val="00C03396"/>
    <w:rsid w:val="00C035DB"/>
    <w:rsid w:val="00C03B46"/>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621B"/>
    <w:rsid w:val="00C76524"/>
    <w:rsid w:val="00C770F2"/>
    <w:rsid w:val="00C77721"/>
    <w:rsid w:val="00C77AC2"/>
    <w:rsid w:val="00C800FC"/>
    <w:rsid w:val="00C80498"/>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988"/>
    <w:rsid w:val="00D50D8D"/>
    <w:rsid w:val="00D51DE9"/>
    <w:rsid w:val="00D52784"/>
    <w:rsid w:val="00D527A4"/>
    <w:rsid w:val="00D529DD"/>
    <w:rsid w:val="00D52EF5"/>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6338"/>
    <w:rsid w:val="00D67270"/>
    <w:rsid w:val="00D67BDF"/>
    <w:rsid w:val="00D72567"/>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111A"/>
    <w:rsid w:val="00DA36B8"/>
    <w:rsid w:val="00DA3F57"/>
    <w:rsid w:val="00DA542D"/>
    <w:rsid w:val="00DA5AD6"/>
    <w:rsid w:val="00DA5D3C"/>
    <w:rsid w:val="00DA60B9"/>
    <w:rsid w:val="00DA646B"/>
    <w:rsid w:val="00DA71A6"/>
    <w:rsid w:val="00DB0099"/>
    <w:rsid w:val="00DB00D9"/>
    <w:rsid w:val="00DB017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3D7"/>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5F3"/>
    <w:rsid w:val="00E4498D"/>
    <w:rsid w:val="00E44D32"/>
    <w:rsid w:val="00E45429"/>
    <w:rsid w:val="00E45785"/>
    <w:rsid w:val="00E458A9"/>
    <w:rsid w:val="00E45C25"/>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5CA6"/>
    <w:rsid w:val="00E9627F"/>
    <w:rsid w:val="00E96AF8"/>
    <w:rsid w:val="00E97403"/>
    <w:rsid w:val="00EA0122"/>
    <w:rsid w:val="00EA0143"/>
    <w:rsid w:val="00EA05C8"/>
    <w:rsid w:val="00EA0DD8"/>
    <w:rsid w:val="00EA1C2D"/>
    <w:rsid w:val="00EA204D"/>
    <w:rsid w:val="00EA225B"/>
    <w:rsid w:val="00EA33EE"/>
    <w:rsid w:val="00EA48C8"/>
    <w:rsid w:val="00EA4E3E"/>
    <w:rsid w:val="00EA599C"/>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2001"/>
    <w:rsid w:val="00EC28E4"/>
    <w:rsid w:val="00EC2E20"/>
    <w:rsid w:val="00EC35FB"/>
    <w:rsid w:val="00EC39B9"/>
    <w:rsid w:val="00EC39D7"/>
    <w:rsid w:val="00EC3C49"/>
    <w:rsid w:val="00EC5422"/>
    <w:rsid w:val="00EC666E"/>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05C3"/>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5BA"/>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3F0"/>
    <w:rsid w:val="00FD054D"/>
    <w:rsid w:val="00FD1A62"/>
    <w:rsid w:val="00FD1E57"/>
    <w:rsid w:val="00FD2533"/>
    <w:rsid w:val="00FD3291"/>
    <w:rsid w:val="00FD35A9"/>
    <w:rsid w:val="00FD3DDE"/>
    <w:rsid w:val="00FD3DE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1299</TotalTime>
  <Pages>3</Pages>
  <Words>979</Words>
  <Characters>4728</Characters>
  <Application>Microsoft Office Word</Application>
  <DocSecurity>0</DocSecurity>
  <Lines>39</Lines>
  <Paragraphs>11</Paragraphs>
  <ScaleCrop>false</ScaleCrop>
  <Company>NEC Group</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231</cp:revision>
  <cp:lastPrinted>2012-09-28T09:55:00Z</cp:lastPrinted>
  <dcterms:created xsi:type="dcterms:W3CDTF">2024-08-01T09:45:00Z</dcterms:created>
  <dcterms:modified xsi:type="dcterms:W3CDTF">2024-11-08T17:39:00Z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